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80" w:rsidRDefault="00F56980" w:rsidP="004469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акредитації освітніх програм.</w:t>
      </w:r>
    </w:p>
    <w:p w:rsidR="00591059" w:rsidRPr="00516AC0" w:rsidRDefault="00AC2A30" w:rsidP="005910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Переговорна процедура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підприємницьких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професійних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спеціалізованих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організацій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акредитації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освітніх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proofErr w:type="spellEnd"/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91059" w:rsidRPr="005910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91059" w:rsidRPr="00591059">
        <w:rPr>
          <w:rFonts w:ascii="Times New Roman" w:hAnsi="Times New Roman" w:cs="Times New Roman"/>
          <w:b/>
          <w:bCs/>
          <w:sz w:val="28"/>
          <w:szCs w:val="28"/>
        </w:rPr>
        <w:t>ДК 021:2015: 98110000-7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21"/>
        <w:gridCol w:w="1889"/>
        <w:gridCol w:w="7620"/>
      </w:tblGrid>
      <w:tr w:rsidR="00591059" w:rsidTr="007D30E7">
        <w:tc>
          <w:tcPr>
            <w:tcW w:w="521" w:type="dxa"/>
            <w:vAlign w:val="center"/>
          </w:tcPr>
          <w:p w:rsidR="00591059" w:rsidRPr="00591059" w:rsidRDefault="00591059" w:rsidP="00591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889" w:type="dxa"/>
            <w:vAlign w:val="center"/>
          </w:tcPr>
          <w:p w:rsidR="00591059" w:rsidRPr="00591059" w:rsidRDefault="00591059" w:rsidP="00591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  <w:tc>
          <w:tcPr>
            <w:tcW w:w="7620" w:type="dxa"/>
            <w:vAlign w:val="center"/>
          </w:tcPr>
          <w:p w:rsidR="00591059" w:rsidRPr="00591059" w:rsidRDefault="00591059" w:rsidP="00591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</w:tr>
      <w:tr w:rsidR="00591059" w:rsidRPr="008F62CD" w:rsidTr="007D30E7">
        <w:tc>
          <w:tcPr>
            <w:tcW w:w="521" w:type="dxa"/>
          </w:tcPr>
          <w:p w:rsidR="00591059" w:rsidRPr="00BE587A" w:rsidRDefault="0059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89" w:type="dxa"/>
          </w:tcPr>
          <w:p w:rsidR="00591059" w:rsidRPr="00591059" w:rsidRDefault="00591059" w:rsidP="0059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ічні</w:t>
            </w:r>
            <w:proofErr w:type="spellEnd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якісні</w:t>
            </w:r>
            <w:proofErr w:type="spellEnd"/>
          </w:p>
          <w:p w:rsidR="00591059" w:rsidRPr="00591059" w:rsidRDefault="00591059" w:rsidP="0059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закупі</w:t>
            </w:r>
            <w:proofErr w:type="gramStart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59105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7620" w:type="dxa"/>
          </w:tcPr>
          <w:p w:rsidR="00F56980" w:rsidRDefault="00F56980" w:rsidP="00361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сьогоднішній день існує необхідність здійснення закупівлі послуг акредитації освітніх програм:</w:t>
            </w:r>
          </w:p>
          <w:p w:rsidR="00F56980" w:rsidRP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акредитації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освітн</w:t>
            </w:r>
            <w:proofErr w:type="spellEnd"/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ьої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</w:t>
            </w:r>
            <w:r w:rsidR="007D30E7">
              <w:rPr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Спеціальна освіта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"- Код згідно ДК 021:2015 "Єдиний за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купівельний словник" 98110000 Послуги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підприємницьких,</w:t>
            </w:r>
            <w:proofErr w:type="spellStart"/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професійних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та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proofErr w:type="spellEnd"/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еціалізованих організацій.</w:t>
            </w:r>
          </w:p>
          <w:p w:rsid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 2. Послуги з акредитації освітньої програми "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освіта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згідно ДК 021:2015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"Єдиний закупівельний словник" - 98110000-7 - Послуги підприємницьких,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професійних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та 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спеціалізованих організацій.</w:t>
            </w:r>
          </w:p>
          <w:p w:rsid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 3. Послуги з акредитації освітньої програми "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"- Код згідно ДК 021:2015 "Єдиний закупівельний словник" - 98110000-7 - Послуги підприємницьких, професійних та спеціалізованих організацій.</w:t>
            </w:r>
          </w:p>
          <w:p w:rsidR="00F56980" w:rsidRDefault="00F56980" w:rsidP="007D30E7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 4. Послуги з акредитації освітньої програми "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(Хімія)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"- Код згідно ДК 021:2015 "Єдиний закупівельний словник" - 98110000-7 - Послуги підприємницьких,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професійних</w:t>
            </w:r>
            <w:r w:rsidR="007D3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спеціалізованих організацій.</w:t>
            </w:r>
          </w:p>
          <w:p w:rsidR="00260B28" w:rsidRDefault="00260B28" w:rsidP="00361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забезпечення освітнього процесу Уманського державного педагогічного університету імені Павла Тичини по вул. Садовій,2 </w:t>
            </w:r>
            <w:r w:rsidR="008C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м. Умань Черкаської області згідно з вимогами Закону України «Про публічні закупівлі» від 25.12.2015 р. № 922-</w:t>
            </w:r>
            <w:r w:rsidR="008C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C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зі змінами та доповненнями (надалі Закон), який установлює правові та економічні засади здійснення закупівель, товарів, робіт і послуг для забезпечення </w:t>
            </w:r>
            <w:r w:rsidR="00225C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 держави та територіальної громади. Закон застосовується до замовників, визначених пунктами 1-3 частини першої статті 2 цього Закону, за умови що вартість предмета закупівлі товару (товарів), послуг (послуги) дорівнює або перевищує 200 тисяч гривень, а робіт-1,5 мільйона гривень.</w:t>
            </w:r>
          </w:p>
          <w:p w:rsidR="00257026" w:rsidRPr="00257026" w:rsidRDefault="00257026" w:rsidP="00361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очікувана варті</w:t>
            </w:r>
            <w:r w:rsidR="00F05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сть закупівлі складає 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247602,96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двісті 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 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тисяч 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шістсот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грив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і відповідно необхідно оголосити переговорну процедуру закупівлі.</w:t>
            </w:r>
          </w:p>
          <w:p w:rsidR="00591059" w:rsidRPr="00BE587A" w:rsidRDefault="00BE587A" w:rsidP="00361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Переговорна процедура закупівлі застосовується замовником як виняток у разі якщо роботи, товари чи послуги можуть бути виконані, поставлені чи надані виключно певним суб’єктом господарювання за наявності такого випадку відсутність конкуренції з технічних причин (п.2 ч.2 ст.40 Закону України "Про публічні закупівлі). </w:t>
            </w:r>
          </w:p>
        </w:tc>
      </w:tr>
      <w:tr w:rsidR="00591059" w:rsidTr="007D30E7">
        <w:trPr>
          <w:trHeight w:val="1731"/>
        </w:trPr>
        <w:tc>
          <w:tcPr>
            <w:tcW w:w="521" w:type="dxa"/>
          </w:tcPr>
          <w:p w:rsidR="00591059" w:rsidRPr="00BE587A" w:rsidRDefault="0059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1889" w:type="dxa"/>
          </w:tcPr>
          <w:p w:rsidR="00BE587A" w:rsidRPr="00BE587A" w:rsidRDefault="00BE587A" w:rsidP="00BE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Очікувана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розмі</w:t>
            </w:r>
            <w:proofErr w:type="gram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591059" w:rsidRDefault="00BE587A" w:rsidP="00BE587A"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7620" w:type="dxa"/>
          </w:tcPr>
          <w:p w:rsidR="00591059" w:rsidRPr="000513A6" w:rsidRDefault="00AC2A30" w:rsidP="00257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Розмі</w:t>
            </w:r>
            <w:proofErr w:type="gram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кошторисом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 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247602,96 (двісті </w:t>
            </w:r>
            <w:r w:rsidR="008F62CD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</w:t>
            </w:r>
            <w:r w:rsidR="008F62CD"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 </w:t>
            </w:r>
            <w:r w:rsidR="008F62CD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тисяч 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шістсот</w:t>
            </w:r>
            <w:r w:rsidR="008F62CD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</w:t>
            </w:r>
            <w:r w:rsidR="008F62CD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грив</w:t>
            </w:r>
            <w:r w:rsidR="008F62CD"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="008F62CD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8F62CD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F62CD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 w:rsidR="008F6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грн.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з ПДВ.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Джерело фінансування кошти</w:t>
            </w:r>
            <w:r w:rsidR="00225C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спеціального фонду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8A6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жавного</w:t>
            </w:r>
            <w:r w:rsid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 України</w:t>
            </w:r>
            <w:r w:rsidR="000513A6"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2680D" w:rsidRPr="00591059" w:rsidRDefault="0072680D">
      <w:bookmarkStart w:id="0" w:name="_GoBack"/>
      <w:bookmarkEnd w:id="0"/>
    </w:p>
    <w:sectPr w:rsidR="0072680D" w:rsidRPr="0059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734C"/>
    <w:multiLevelType w:val="hybridMultilevel"/>
    <w:tmpl w:val="6502842A"/>
    <w:lvl w:ilvl="0" w:tplc="C4F8DA2A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59"/>
    <w:rsid w:val="000513A6"/>
    <w:rsid w:val="00215EFE"/>
    <w:rsid w:val="00225C68"/>
    <w:rsid w:val="00257026"/>
    <w:rsid w:val="00260B28"/>
    <w:rsid w:val="003615EE"/>
    <w:rsid w:val="00446942"/>
    <w:rsid w:val="00516AC0"/>
    <w:rsid w:val="00591059"/>
    <w:rsid w:val="006A7991"/>
    <w:rsid w:val="006D4273"/>
    <w:rsid w:val="0072680D"/>
    <w:rsid w:val="007D30E7"/>
    <w:rsid w:val="008A66FE"/>
    <w:rsid w:val="008C0DC9"/>
    <w:rsid w:val="008F62CD"/>
    <w:rsid w:val="00AC2A30"/>
    <w:rsid w:val="00BE587A"/>
    <w:rsid w:val="00F05B42"/>
    <w:rsid w:val="00F541FF"/>
    <w:rsid w:val="00F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2021-03-22T08:08:00Z</cp:lastPrinted>
  <dcterms:created xsi:type="dcterms:W3CDTF">2021-04-05T13:12:00Z</dcterms:created>
  <dcterms:modified xsi:type="dcterms:W3CDTF">2021-04-05T13:17:00Z</dcterms:modified>
</cp:coreProperties>
</file>